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2" w:rsidRPr="00CF0CD9" w:rsidRDefault="00360582" w:rsidP="00360582">
      <w:pPr>
        <w:pStyle w:val="Corps"/>
        <w:shd w:val="clear" w:color="auto" w:fill="FFFFFF"/>
        <w:spacing w:after="24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Afin de </w:t>
      </w:r>
      <w:r w:rsidRPr="00CF0CD9">
        <w:rPr>
          <w:rFonts w:ascii="Arial" w:hAnsi="Arial"/>
          <w:color w:val="000000" w:themeColor="text1"/>
        </w:rPr>
        <w:t>prononce</w:t>
      </w:r>
      <w:r>
        <w:rPr>
          <w:rFonts w:ascii="Arial" w:hAnsi="Arial"/>
          <w:color w:val="000000" w:themeColor="text1"/>
        </w:rPr>
        <w:t>r</w:t>
      </w:r>
      <w:r w:rsidRPr="00CF0CD9">
        <w:rPr>
          <w:rFonts w:ascii="Arial" w:hAnsi="Arial"/>
          <w:color w:val="000000" w:themeColor="text1"/>
        </w:rPr>
        <w:t xml:space="preserve"> l'admission</w:t>
      </w:r>
      <w:r>
        <w:rPr>
          <w:rFonts w:ascii="Arial" w:hAnsi="Arial"/>
          <w:color w:val="000000" w:themeColor="text1"/>
        </w:rPr>
        <w:t xml:space="preserve"> d’un élève </w:t>
      </w:r>
      <w:r w:rsidRPr="00CF0CD9">
        <w:rPr>
          <w:rStyle w:val="Aucun"/>
          <w:rFonts w:ascii="Arial" w:hAnsi="Arial"/>
          <w:color w:val="000000" w:themeColor="text1"/>
        </w:rPr>
        <w:t xml:space="preserve">à </w:t>
      </w:r>
      <w:r w:rsidRPr="00CF0CD9">
        <w:rPr>
          <w:rFonts w:ascii="Arial" w:hAnsi="Arial"/>
          <w:color w:val="000000" w:themeColor="text1"/>
        </w:rPr>
        <w:t>l</w:t>
      </w:r>
      <w:r w:rsidRPr="00CF0CD9">
        <w:rPr>
          <w:rStyle w:val="Aucun"/>
          <w:rFonts w:ascii="Arial" w:hAnsi="Arial"/>
          <w:color w:val="000000" w:themeColor="text1"/>
        </w:rPr>
        <w:t>’é</w:t>
      </w:r>
      <w:r w:rsidRPr="00CF0CD9">
        <w:rPr>
          <w:rFonts w:ascii="Arial" w:hAnsi="Arial"/>
          <w:color w:val="000000" w:themeColor="text1"/>
        </w:rPr>
        <w:t>cole</w:t>
      </w:r>
      <w:r>
        <w:rPr>
          <w:rFonts w:ascii="Arial" w:hAnsi="Arial"/>
          <w:color w:val="000000" w:themeColor="text1"/>
        </w:rPr>
        <w:t xml:space="preserve">, le directeur d’école doit demander la </w:t>
      </w:r>
      <w:r w:rsidRPr="00CF0CD9">
        <w:rPr>
          <w:rFonts w:ascii="Arial" w:hAnsi="Arial"/>
          <w:color w:val="000000" w:themeColor="text1"/>
        </w:rPr>
        <w:t>pr</w:t>
      </w:r>
      <w:r w:rsidRPr="00CF0CD9">
        <w:rPr>
          <w:rStyle w:val="Aucun"/>
          <w:rFonts w:ascii="Arial" w:hAnsi="Arial"/>
          <w:color w:val="000000" w:themeColor="text1"/>
        </w:rPr>
        <w:t>é</w:t>
      </w:r>
      <w:r w:rsidRPr="00CF0CD9">
        <w:rPr>
          <w:rFonts w:ascii="Arial" w:hAnsi="Arial"/>
          <w:color w:val="000000" w:themeColor="text1"/>
        </w:rPr>
        <w:t xml:space="preserve">sentation </w:t>
      </w:r>
      <w:r>
        <w:rPr>
          <w:rFonts w:ascii="Arial" w:hAnsi="Arial"/>
          <w:color w:val="000000" w:themeColor="text1"/>
        </w:rPr>
        <w:t>d</w:t>
      </w:r>
      <w:r w:rsidRPr="00CF0CD9">
        <w:rPr>
          <w:rFonts w:ascii="Arial" w:hAnsi="Arial"/>
          <w:color w:val="000000" w:themeColor="text1"/>
        </w:rPr>
        <w:t xml:space="preserve">’un document attestant que l'enfant a subi les vaccinations obligatoires pour son </w:t>
      </w:r>
      <w:r w:rsidRPr="00CF0CD9">
        <w:rPr>
          <w:rStyle w:val="Aucun"/>
          <w:rFonts w:ascii="Arial" w:hAnsi="Arial"/>
          <w:color w:val="000000" w:themeColor="text1"/>
        </w:rPr>
        <w:t>â</w:t>
      </w:r>
      <w:r w:rsidRPr="00CF0CD9">
        <w:rPr>
          <w:rFonts w:ascii="Arial" w:hAnsi="Arial"/>
          <w:color w:val="000000" w:themeColor="text1"/>
        </w:rPr>
        <w:t>ge ou justifie d'une contre-indication en application des dispositions de l</w:t>
      </w:r>
      <w:r w:rsidRPr="00CF0CD9">
        <w:rPr>
          <w:rStyle w:val="Aucun"/>
          <w:rFonts w:ascii="Arial" w:hAnsi="Arial"/>
          <w:color w:val="000000" w:themeColor="text1"/>
        </w:rPr>
        <w:t>’</w:t>
      </w:r>
      <w:hyperlink r:id="rId5" w:history="1">
        <w:r w:rsidRPr="00CF0CD9">
          <w:rPr>
            <w:rStyle w:val="Hyperlink3"/>
            <w:rFonts w:ascii="Arial" w:hAnsi="Arial"/>
            <w:color w:val="000000" w:themeColor="text1"/>
          </w:rPr>
          <w:t>article L.3111-2</w:t>
        </w:r>
      </w:hyperlink>
      <w:r w:rsidRPr="00CF0CD9">
        <w:rPr>
          <w:rFonts w:ascii="Arial" w:hAnsi="Arial"/>
          <w:color w:val="000000" w:themeColor="text1"/>
        </w:rPr>
        <w:t>du code de la sant</w:t>
      </w:r>
      <w:r w:rsidRPr="00CF0CD9">
        <w:rPr>
          <w:rStyle w:val="Aucun"/>
          <w:rFonts w:ascii="Arial" w:hAnsi="Arial"/>
          <w:color w:val="000000" w:themeColor="text1"/>
        </w:rPr>
        <w:t xml:space="preserve">é </w:t>
      </w:r>
      <w:r w:rsidRPr="00CF0CD9">
        <w:rPr>
          <w:rFonts w:ascii="Arial" w:hAnsi="Arial"/>
          <w:color w:val="000000" w:themeColor="text1"/>
        </w:rPr>
        <w:t>publique</w:t>
      </w:r>
      <w:r w:rsidR="000053DD">
        <w:rPr>
          <w:rFonts w:ascii="Arial" w:hAnsi="Arial"/>
          <w:color w:val="000000" w:themeColor="text1"/>
        </w:rPr>
        <w:t xml:space="preserve">. Le justificatif peut prendre la forme </w:t>
      </w:r>
      <w:r w:rsidR="009D3DC3">
        <w:rPr>
          <w:rFonts w:ascii="Arial" w:hAnsi="Arial"/>
          <w:color w:val="000000" w:themeColor="text1"/>
        </w:rPr>
        <w:t>d’un</w:t>
      </w:r>
      <w:r w:rsidRPr="00CF0CD9">
        <w:rPr>
          <w:rFonts w:ascii="Arial" w:hAnsi="Arial"/>
          <w:color w:val="000000" w:themeColor="text1"/>
        </w:rPr>
        <w:t xml:space="preserve"> certificat du m</w:t>
      </w:r>
      <w:r w:rsidRPr="00CF0CD9">
        <w:rPr>
          <w:rStyle w:val="Aucun"/>
          <w:rFonts w:ascii="Arial" w:hAnsi="Arial"/>
          <w:color w:val="000000" w:themeColor="text1"/>
        </w:rPr>
        <w:t>é</w:t>
      </w:r>
      <w:r w:rsidRPr="00CF0CD9">
        <w:rPr>
          <w:rFonts w:ascii="Arial" w:hAnsi="Arial"/>
          <w:color w:val="000000" w:themeColor="text1"/>
        </w:rPr>
        <w:t xml:space="preserve">decin ou </w:t>
      </w:r>
      <w:r w:rsidR="009D3DC3">
        <w:rPr>
          <w:rFonts w:ascii="Arial" w:hAnsi="Arial"/>
          <w:color w:val="000000" w:themeColor="text1"/>
        </w:rPr>
        <w:t xml:space="preserve">de la </w:t>
      </w:r>
      <w:r w:rsidRPr="00CF0CD9">
        <w:rPr>
          <w:rFonts w:ascii="Arial" w:hAnsi="Arial"/>
          <w:color w:val="000000" w:themeColor="text1"/>
        </w:rPr>
        <w:t>photocopie des pages du carnet de sant</w:t>
      </w:r>
      <w:r w:rsidRPr="00CF0CD9">
        <w:rPr>
          <w:rStyle w:val="Aucun"/>
          <w:rFonts w:ascii="Arial" w:hAnsi="Arial"/>
          <w:color w:val="000000" w:themeColor="text1"/>
        </w:rPr>
        <w:t xml:space="preserve">é </w:t>
      </w:r>
      <w:r w:rsidRPr="00CF0CD9">
        <w:rPr>
          <w:rFonts w:ascii="Arial" w:hAnsi="Arial"/>
          <w:color w:val="000000" w:themeColor="text1"/>
        </w:rPr>
        <w:t>relatives aux vaccinations</w:t>
      </w:r>
      <w:r w:rsidR="009D3DC3">
        <w:rPr>
          <w:rFonts w:ascii="Arial" w:hAnsi="Arial"/>
          <w:color w:val="000000" w:themeColor="text1"/>
        </w:rPr>
        <w:t xml:space="preserve"> ou encore du </w:t>
      </w:r>
      <w:r w:rsidRPr="00CF0CD9">
        <w:rPr>
          <w:rFonts w:ascii="Arial" w:hAnsi="Arial"/>
          <w:color w:val="000000" w:themeColor="text1"/>
        </w:rPr>
        <w:t>carnet international de vaccinations.</w:t>
      </w:r>
    </w:p>
    <w:p w:rsidR="00360582" w:rsidRPr="00B50914" w:rsidRDefault="00360582" w:rsidP="000F3097">
      <w:pPr>
        <w:pStyle w:val="NormalWeb"/>
        <w:rPr>
          <w:rFonts w:ascii="Arial" w:hAnsi="Arial" w:cs="Arial"/>
        </w:rPr>
      </w:pPr>
      <w:r w:rsidRPr="00B50914">
        <w:rPr>
          <w:rFonts w:ascii="Arial" w:hAnsi="Arial" w:cs="Arial"/>
          <w:b/>
          <w:bCs/>
        </w:rPr>
        <w:t xml:space="preserve">Le nombre de vaccins obligatoires dépend de la date de naissance de </w:t>
      </w:r>
      <w:r w:rsidR="000F3097" w:rsidRPr="00B50914">
        <w:rPr>
          <w:rFonts w:ascii="Arial" w:hAnsi="Arial" w:cs="Arial"/>
          <w:b/>
          <w:bCs/>
        </w:rPr>
        <w:t>l’</w:t>
      </w:r>
      <w:r w:rsidRPr="00B50914">
        <w:rPr>
          <w:rFonts w:ascii="Arial" w:hAnsi="Arial" w:cs="Arial"/>
          <w:b/>
          <w:bCs/>
        </w:rPr>
        <w:t>enfant</w:t>
      </w:r>
      <w:r w:rsidRPr="00B50914">
        <w:rPr>
          <w:rFonts w:ascii="Arial" w:hAnsi="Arial" w:cs="Arial"/>
        </w:rPr>
        <w:t>.</w:t>
      </w:r>
    </w:p>
    <w:tbl>
      <w:tblPr>
        <w:tblStyle w:val="Grilledutableau"/>
        <w:tblW w:w="15420" w:type="dxa"/>
        <w:tblLook w:val="04A0"/>
      </w:tblPr>
      <w:tblGrid>
        <w:gridCol w:w="7710"/>
        <w:gridCol w:w="7710"/>
      </w:tblGrid>
      <w:tr w:rsidR="00360582" w:rsidRPr="00360582" w:rsidTr="000F3097">
        <w:tc>
          <w:tcPr>
            <w:tcW w:w="7710" w:type="dxa"/>
            <w:shd w:val="clear" w:color="auto" w:fill="FF9900"/>
          </w:tcPr>
          <w:p w:rsidR="00360582" w:rsidRPr="00360582" w:rsidRDefault="00360582" w:rsidP="00360582">
            <w:pPr>
              <w:jc w:val="center"/>
              <w:rPr>
                <w:b/>
                <w:bCs/>
                <w:sz w:val="28"/>
                <w:szCs w:val="28"/>
              </w:rPr>
            </w:pPr>
            <w:r w:rsidRPr="00360582">
              <w:rPr>
                <w:b/>
                <w:bCs/>
                <w:sz w:val="28"/>
                <w:szCs w:val="28"/>
              </w:rPr>
              <w:t>Enfant né avant 2018</w:t>
            </w:r>
          </w:p>
        </w:tc>
        <w:tc>
          <w:tcPr>
            <w:tcW w:w="7710" w:type="dxa"/>
            <w:shd w:val="clear" w:color="auto" w:fill="800080"/>
          </w:tcPr>
          <w:p w:rsidR="00360582" w:rsidRPr="00360582" w:rsidRDefault="00360582" w:rsidP="00360582">
            <w:pPr>
              <w:jc w:val="center"/>
              <w:rPr>
                <w:b/>
                <w:bCs/>
                <w:sz w:val="28"/>
                <w:szCs w:val="28"/>
              </w:rPr>
            </w:pPr>
            <w:r w:rsidRPr="00360582">
              <w:rPr>
                <w:b/>
                <w:bCs/>
                <w:sz w:val="28"/>
                <w:szCs w:val="28"/>
              </w:rPr>
              <w:t xml:space="preserve">Enfant né </w:t>
            </w:r>
            <w:r w:rsidRPr="000F3097">
              <w:rPr>
                <w:b/>
                <w:bCs/>
                <w:sz w:val="28"/>
                <w:szCs w:val="28"/>
                <w:u w:val="single"/>
              </w:rPr>
              <w:t>à partir de 2018</w:t>
            </w:r>
          </w:p>
        </w:tc>
      </w:tr>
      <w:tr w:rsidR="00360582" w:rsidTr="000F3097">
        <w:tc>
          <w:tcPr>
            <w:tcW w:w="7710" w:type="dxa"/>
            <w:shd w:val="clear" w:color="auto" w:fill="FBE4D5" w:themeFill="accent2" w:themeFillTint="33"/>
          </w:tcPr>
          <w:p w:rsid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Les </w:t>
            </w:r>
            <w:r w:rsidRPr="0036058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vaccinations obligatoires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sont les suivantes : </w:t>
            </w:r>
          </w:p>
          <w:p w:rsidR="00360582" w:rsidRPr="00360582" w:rsidRDefault="00360582" w:rsidP="00360582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Diphtérie, tétanos et poliomyélite (DTP).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Et pour les résidents de Guyane, la fièvre jaune, à partir de 1 an.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 personnes titulaires de l'autorité parentale doivent veiller au respect de cette obligation.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Les </w:t>
            </w:r>
            <w:r w:rsidRPr="0036058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vaccinations recommandées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concernent :</w:t>
            </w:r>
          </w:p>
          <w:p w:rsidR="00360582" w:rsidRPr="00360582" w:rsidRDefault="00FC76E4" w:rsidP="003605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360582"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maladies telles que la tuberculose, la coqueluche, la rubéole, la rougeole, et les oreillons, la varicelle, la grippe, l'hépatite B, le zona,</w:t>
            </w:r>
          </w:p>
          <w:p w:rsidR="00360582" w:rsidRPr="00360582" w:rsidRDefault="00FC76E4" w:rsidP="003605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360582"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infections invasives à haemophilus influenzae de type B, à pneumocoque, à méningocoque C,</w:t>
            </w:r>
          </w:p>
          <w:p w:rsidR="00360582" w:rsidRPr="00360582" w:rsidRDefault="00FC76E4" w:rsidP="003605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360582"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infections à papillomavirus humains.</w:t>
            </w:r>
          </w:p>
          <w:p w:rsidR="00FC76E4" w:rsidRPr="00360582" w:rsidRDefault="00FC76E4" w:rsidP="00FC76E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médecin qui effectue le vaccin doit le mentionner sur le carnet de santé de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enfant.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 parent doit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présenter le carnet de santé comme justificatif de la réalisation des vaccinations obligatoires.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 autres vaccinations (coqueluche, BCG, ROR notamment) ne sont pas obligatoires.</w:t>
            </w:r>
          </w:p>
          <w:p w:rsidR="00360582" w:rsidRPr="00360582" w:rsidRDefault="00360582">
            <w:pPr>
              <w:rPr>
                <w:rFonts w:cstheme="minorHAnsi"/>
              </w:rPr>
            </w:pPr>
          </w:p>
        </w:tc>
        <w:tc>
          <w:tcPr>
            <w:tcW w:w="7710" w:type="dxa"/>
            <w:shd w:val="clear" w:color="auto" w:fill="DDDDFF"/>
          </w:tcPr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Les 11 </w:t>
            </w:r>
            <w:r w:rsidRPr="0036058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vaccinations obligatoires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sont les suivantes :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Diphtérie, tétanos et poliomyélite (DTP)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Coqueluche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Infections invasives à Haemophilus influenzae de type b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Hépatite B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Infections invasives à pneumocoque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Méningocoque de sérogroupe C</w:t>
            </w:r>
          </w:p>
          <w:p w:rsidR="00360582" w:rsidRPr="00360582" w:rsidRDefault="00360582" w:rsidP="0036058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Rougeole, oreillons et rubéole.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Et pour les résidents de Guyane, la fièvre jaune, à partir de 1 an.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 personnes titulaires de l'autorité parentale doivent veiller au respect de cette obligation.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Les </w:t>
            </w:r>
            <w:r w:rsidRPr="0036058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vaccinations recommandées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concernent :</w:t>
            </w:r>
          </w:p>
          <w:p w:rsidR="00360582" w:rsidRPr="00360582" w:rsidRDefault="00FC76E4" w:rsidP="0036058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360582"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maladies telles que la tuberculose, la varicelle, la grippe, le zona,</w:t>
            </w:r>
          </w:p>
          <w:p w:rsidR="00360582" w:rsidRPr="00360582" w:rsidRDefault="00FC76E4" w:rsidP="0036058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360582"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infections à papillomavirus humains.</w:t>
            </w:r>
          </w:p>
          <w:p w:rsidR="00360582" w:rsidRPr="00360582" w:rsidRDefault="00360582" w:rsidP="003605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médecin qui effectue le vaccin doit le mentionner sur le carnet de santé de </w:t>
            </w:r>
            <w:r w:rsidR="00FC76E4">
              <w:rPr>
                <w:rFonts w:eastAsia="Times New Roman" w:cstheme="minorHAnsi"/>
                <w:sz w:val="24"/>
                <w:szCs w:val="24"/>
                <w:lang w:eastAsia="fr-FR"/>
              </w:rPr>
              <w:t>l’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enfant. </w:t>
            </w:r>
            <w:r w:rsidR="00FC76E4">
              <w:rPr>
                <w:rFonts w:eastAsia="Times New Roman" w:cstheme="minorHAnsi"/>
                <w:sz w:val="24"/>
                <w:szCs w:val="24"/>
                <w:lang w:eastAsia="fr-FR"/>
              </w:rPr>
              <w:t>Le parent doit</w:t>
            </w:r>
            <w:r w:rsidRPr="00360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présenter le carnet de santé comme justificatif de la réalisation des vaccinations obligatoires.</w:t>
            </w:r>
          </w:p>
          <w:p w:rsidR="00360582" w:rsidRPr="00360582" w:rsidRDefault="00360582">
            <w:pPr>
              <w:rPr>
                <w:rFonts w:cstheme="minorHAnsi"/>
              </w:rPr>
            </w:pPr>
          </w:p>
        </w:tc>
      </w:tr>
    </w:tbl>
    <w:p w:rsidR="00E0735F" w:rsidRDefault="009D463E"/>
    <w:sectPr w:rsidR="00E0735F" w:rsidSect="000F3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953"/>
    <w:multiLevelType w:val="multilevel"/>
    <w:tmpl w:val="4E0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2C7D"/>
    <w:multiLevelType w:val="hybridMultilevel"/>
    <w:tmpl w:val="798A101A"/>
    <w:lvl w:ilvl="0" w:tplc="2E0CE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130F"/>
    <w:multiLevelType w:val="multilevel"/>
    <w:tmpl w:val="D7C89DAE"/>
    <w:numStyleLink w:val="Style6import"/>
  </w:abstractNum>
  <w:abstractNum w:abstractNumId="3">
    <w:nsid w:val="39652562"/>
    <w:multiLevelType w:val="multilevel"/>
    <w:tmpl w:val="D7C89DAE"/>
    <w:styleLink w:val="Style6import"/>
    <w:lvl w:ilvl="0">
      <w:start w:val="1"/>
      <w:numFmt w:val="upperRoman"/>
      <w:lvlText w:val="%1."/>
      <w:lvlJc w:val="left"/>
      <w:pPr>
        <w:ind w:left="806" w:hanging="5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6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8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088" w:hanging="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096" w:hanging="9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6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10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A7E1203"/>
    <w:multiLevelType w:val="multilevel"/>
    <w:tmpl w:val="528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56E45"/>
    <w:multiLevelType w:val="hybridMultilevel"/>
    <w:tmpl w:val="C7E64C78"/>
    <w:numStyleLink w:val="Style7import"/>
  </w:abstractNum>
  <w:abstractNum w:abstractNumId="6">
    <w:nsid w:val="5749528E"/>
    <w:multiLevelType w:val="multilevel"/>
    <w:tmpl w:val="D37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532AD"/>
    <w:multiLevelType w:val="hybridMultilevel"/>
    <w:tmpl w:val="C7E64C78"/>
    <w:styleLink w:val="Style7import"/>
    <w:lvl w:ilvl="0" w:tplc="0B064BA6">
      <w:start w:val="1"/>
      <w:numFmt w:val="bullet"/>
      <w:lvlText w:val="●"/>
      <w:lvlJc w:val="left"/>
      <w:pPr>
        <w:tabs>
          <w:tab w:val="left" w:pos="135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D0375E">
      <w:start w:val="1"/>
      <w:numFmt w:val="bullet"/>
      <w:lvlText w:val="o"/>
      <w:lvlJc w:val="left"/>
      <w:pPr>
        <w:tabs>
          <w:tab w:val="left" w:pos="135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C4534">
      <w:start w:val="1"/>
      <w:numFmt w:val="bullet"/>
      <w:lvlText w:val="▪"/>
      <w:lvlJc w:val="left"/>
      <w:pPr>
        <w:tabs>
          <w:tab w:val="left" w:pos="135"/>
        </w:tabs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B22274">
      <w:start w:val="1"/>
      <w:numFmt w:val="bullet"/>
      <w:lvlText w:val="●"/>
      <w:lvlJc w:val="left"/>
      <w:pPr>
        <w:tabs>
          <w:tab w:val="left" w:pos="135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02D10">
      <w:start w:val="1"/>
      <w:numFmt w:val="bullet"/>
      <w:lvlText w:val="o"/>
      <w:lvlJc w:val="left"/>
      <w:pPr>
        <w:tabs>
          <w:tab w:val="left" w:pos="135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32EA">
      <w:start w:val="1"/>
      <w:numFmt w:val="bullet"/>
      <w:lvlText w:val="▪"/>
      <w:lvlJc w:val="left"/>
      <w:pPr>
        <w:tabs>
          <w:tab w:val="left" w:pos="135"/>
        </w:tabs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80924">
      <w:start w:val="1"/>
      <w:numFmt w:val="bullet"/>
      <w:lvlText w:val="●"/>
      <w:lvlJc w:val="left"/>
      <w:pPr>
        <w:tabs>
          <w:tab w:val="left" w:pos="135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2BEFC">
      <w:start w:val="1"/>
      <w:numFmt w:val="bullet"/>
      <w:lvlText w:val="o"/>
      <w:lvlJc w:val="left"/>
      <w:pPr>
        <w:tabs>
          <w:tab w:val="left" w:pos="135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24D5E">
      <w:start w:val="1"/>
      <w:numFmt w:val="bullet"/>
      <w:lvlText w:val="▪"/>
      <w:lvlJc w:val="left"/>
      <w:pPr>
        <w:tabs>
          <w:tab w:val="left" w:pos="135"/>
        </w:tabs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lvl w:ilvl="0" w:tplc="16C623E2">
        <w:start w:val="1"/>
        <w:numFmt w:val="bullet"/>
        <w:lvlText w:val="●"/>
        <w:lvlJc w:val="left"/>
        <w:pPr>
          <w:ind w:left="136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C8C178">
        <w:start w:val="1"/>
        <w:numFmt w:val="bullet"/>
        <w:lvlText w:val="o"/>
        <w:lvlJc w:val="left"/>
        <w:pPr>
          <w:ind w:left="208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2AAD2A">
        <w:start w:val="1"/>
        <w:numFmt w:val="bullet"/>
        <w:lvlText w:val="▪"/>
        <w:lvlJc w:val="left"/>
        <w:pPr>
          <w:ind w:left="28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56CF66">
        <w:start w:val="1"/>
        <w:numFmt w:val="bullet"/>
        <w:lvlText w:val="●"/>
        <w:lvlJc w:val="left"/>
        <w:pPr>
          <w:ind w:left="352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6EEB66">
        <w:start w:val="1"/>
        <w:numFmt w:val="bullet"/>
        <w:lvlText w:val="o"/>
        <w:lvlJc w:val="left"/>
        <w:pPr>
          <w:ind w:left="424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BE89BC">
        <w:start w:val="1"/>
        <w:numFmt w:val="bullet"/>
        <w:lvlText w:val="▪"/>
        <w:lvlJc w:val="left"/>
        <w:pPr>
          <w:ind w:left="49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1A3404">
        <w:start w:val="1"/>
        <w:numFmt w:val="bullet"/>
        <w:lvlText w:val="●"/>
        <w:lvlJc w:val="left"/>
        <w:pPr>
          <w:ind w:left="568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699EC">
        <w:start w:val="1"/>
        <w:numFmt w:val="bullet"/>
        <w:lvlText w:val="o"/>
        <w:lvlJc w:val="left"/>
        <w:pPr>
          <w:ind w:left="640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DCBDBA">
        <w:start w:val="1"/>
        <w:numFmt w:val="bullet"/>
        <w:lvlText w:val="▪"/>
        <w:lvlJc w:val="left"/>
        <w:pPr>
          <w:ind w:left="712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0582"/>
    <w:rsid w:val="000053DD"/>
    <w:rsid w:val="000F3097"/>
    <w:rsid w:val="00360582"/>
    <w:rsid w:val="007A670D"/>
    <w:rsid w:val="008047B7"/>
    <w:rsid w:val="00991904"/>
    <w:rsid w:val="009D3DC3"/>
    <w:rsid w:val="009D463E"/>
    <w:rsid w:val="00B50914"/>
    <w:rsid w:val="00BF54A0"/>
    <w:rsid w:val="00E916E1"/>
    <w:rsid w:val="00FC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0582"/>
    <w:rPr>
      <w:b/>
      <w:bCs/>
    </w:rPr>
  </w:style>
  <w:style w:type="paragraph" w:styleId="Paragraphedeliste">
    <w:name w:val="List Paragraph"/>
    <w:basedOn w:val="Normal"/>
    <w:uiPriority w:val="34"/>
    <w:qFormat/>
    <w:rsid w:val="00360582"/>
    <w:pPr>
      <w:ind w:left="720"/>
      <w:contextualSpacing/>
    </w:pPr>
  </w:style>
  <w:style w:type="paragraph" w:customStyle="1" w:styleId="Corps">
    <w:name w:val="Corps"/>
    <w:rsid w:val="003605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360582"/>
    <w:rPr>
      <w:lang w:val="fr-FR"/>
    </w:rPr>
  </w:style>
  <w:style w:type="numbering" w:customStyle="1" w:styleId="Style7import">
    <w:name w:val="Style 7 importé"/>
    <w:rsid w:val="00360582"/>
    <w:pPr>
      <w:numPr>
        <w:numId w:val="5"/>
      </w:numPr>
    </w:pPr>
  </w:style>
  <w:style w:type="character" w:customStyle="1" w:styleId="Hyperlink3">
    <w:name w:val="Hyperlink.3"/>
    <w:basedOn w:val="Policepardfaut"/>
    <w:rsid w:val="00360582"/>
    <w:rPr>
      <w:outline w:val="0"/>
      <w:color w:val="0000FF"/>
      <w:u w:val="none" w:color="0000FF"/>
    </w:rPr>
  </w:style>
  <w:style w:type="paragraph" w:customStyle="1" w:styleId="Titrerouge">
    <w:name w:val="Titre rouge"/>
    <w:next w:val="Corps"/>
    <w:rsid w:val="00360582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  <w:outlineLvl w:val="5"/>
    </w:pPr>
    <w:rPr>
      <w:rFonts w:ascii="Helvetica Neue" w:eastAsia="Helvetica Neue" w:hAnsi="Helvetica Neue" w:cs="Helvetica Neue"/>
      <w:b/>
      <w:bCs/>
      <w:color w:val="000000"/>
      <w:sz w:val="26"/>
      <w:szCs w:val="26"/>
      <w:bdr w:val="nil"/>
      <w:lang w:eastAsia="fr-FR"/>
    </w:rPr>
  </w:style>
  <w:style w:type="numbering" w:customStyle="1" w:styleId="Style6import">
    <w:name w:val="Style 6 importé"/>
    <w:rsid w:val="003605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idArticle=LEGIARTI000036393260&amp;cidTexte=LEGITEXT000006072665&amp;dateTexte=2018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 Catherine</dc:creator>
  <cp:lastModifiedBy>DIRECTION</cp:lastModifiedBy>
  <cp:revision>2</cp:revision>
  <dcterms:created xsi:type="dcterms:W3CDTF">2021-03-29T05:21:00Z</dcterms:created>
  <dcterms:modified xsi:type="dcterms:W3CDTF">2021-03-29T05:21:00Z</dcterms:modified>
</cp:coreProperties>
</file>